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2CBBC1C9"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F30821">
        <w:rPr>
          <w:rFonts w:ascii="Calibri" w:hAnsi="Calibri" w:cs="Calibri"/>
          <w:lang w:val="en-GB"/>
        </w:rPr>
        <w:t>18/2026/</w:t>
      </w:r>
      <w:proofErr w:type="spellStart"/>
      <w:r w:rsidR="00F30821">
        <w:rPr>
          <w:rFonts w:ascii="Calibri" w:hAnsi="Calibri" w:cs="Calibri"/>
          <w:lang w:val="en-GB"/>
        </w:rPr>
        <w:t>Nustalgic</w:t>
      </w:r>
      <w:proofErr w:type="spellEnd"/>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691BF816"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Pr="000E7BC6">
        <w:rPr>
          <w:rStyle w:val="normaltextrun"/>
          <w:rFonts w:ascii="Calibri" w:hAnsi="Calibri" w:cs="Calibri"/>
          <w:b/>
          <w:bCs/>
          <w:color w:val="000000"/>
          <w:sz w:val="22"/>
          <w:szCs w:val="22"/>
          <w:highlight w:val="yellow"/>
          <w:shd w:val="clear" w:color="auto" w:fill="FFFFFF"/>
        </w:rPr>
        <w:t>Euros</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6C57131E" w14:textId="77777777" w:rsidR="0015673E" w:rsidRPr="00577A01" w:rsidRDefault="0015673E" w:rsidP="0015673E">
      <w:pPr>
        <w:pStyle w:val="Default"/>
        <w:rPr>
          <w:lang w:val="en-GB" w:eastAsia="el-GR"/>
        </w:rPr>
      </w:pPr>
    </w:p>
    <w:p w14:paraId="6561CBE9"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Prices shall be necessarily indicated in EURO, for comparison reasons, and any quoted rates are to take into consideration all double handling of material as well as compliance with relevant standards, legal notices and health and safety procedures. </w:t>
      </w:r>
    </w:p>
    <w:p w14:paraId="73D88E1F"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Offers that do not indicate their prices in EURO or offers that indicate an equivalency between EURO and foreign currencies shall be rejected as inadmissible. </w:t>
      </w:r>
    </w:p>
    <w:p w14:paraId="55D12B5A"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If the offered price is not clearly and expressly mentioned, the offer shall be rejected as inadmissible.</w:t>
      </w:r>
    </w:p>
    <w:p w14:paraId="547911B5"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Any costs, expenses or services not expressly mentioned in the offer </w:t>
      </w:r>
      <w:proofErr w:type="gramStart"/>
      <w:r w:rsidRPr="003C4BA9">
        <w:rPr>
          <w:rStyle w:val="eop"/>
          <w:rFonts w:ascii="Calibri" w:hAnsi="Calibri" w:cs="Calibri"/>
          <w:color w:val="000000"/>
          <w:sz w:val="24"/>
          <w:shd w:val="clear" w:color="auto" w:fill="FFFFFF"/>
        </w:rPr>
        <w:t>is</w:t>
      </w:r>
      <w:proofErr w:type="gramEnd"/>
      <w:r w:rsidRPr="003C4BA9">
        <w:rPr>
          <w:rStyle w:val="eop"/>
          <w:rFonts w:ascii="Calibri" w:hAnsi="Calibri" w:cs="Calibri"/>
          <w:color w:val="000000"/>
          <w:sz w:val="24"/>
          <w:shd w:val="clear" w:color="auto" w:fill="FFFFFF"/>
        </w:rPr>
        <w:t xml:space="preserve"> regarded as being offered for free.  </w:t>
      </w:r>
    </w:p>
    <w:p w14:paraId="43A929D1"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lastRenderedPageBreak/>
        <w:t xml:space="preserve">Offer </w:t>
      </w:r>
      <w:proofErr w:type="gramStart"/>
      <w:r w:rsidRPr="003C4BA9">
        <w:rPr>
          <w:rStyle w:val="eop"/>
          <w:rFonts w:ascii="Calibri" w:hAnsi="Calibri" w:cs="Calibri"/>
          <w:color w:val="000000"/>
          <w:sz w:val="24"/>
          <w:shd w:val="clear" w:color="auto" w:fill="FFFFFF"/>
        </w:rPr>
        <w:t>prices shall</w:t>
      </w:r>
      <w:proofErr w:type="gramEnd"/>
      <w:r w:rsidRPr="003C4BA9">
        <w:rPr>
          <w:rStyle w:val="eop"/>
          <w:rFonts w:ascii="Calibri" w:hAnsi="Calibri" w:cs="Calibri"/>
          <w:color w:val="000000"/>
          <w:sz w:val="24"/>
          <w:shd w:val="clear" w:color="auto" w:fill="FFFFFF"/>
        </w:rPr>
        <w:t xml:space="preserve"> remain unchanged throughout the offer validity period. In case an extension of offer validity period is requested, Participants shall not be entitled, when giving their consent for such an extension, to submit new or amended price lists.</w:t>
      </w:r>
    </w:p>
    <w:p w14:paraId="18C8D6FE" w14:textId="4BB60154" w:rsidR="0015673E"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The Contracting Authority shall reserve the right to request that Participants submit any information required for the documentation of the prices offered.</w:t>
      </w:r>
    </w:p>
    <w:p w14:paraId="7DB66A63" w14:textId="77777777" w:rsidR="00E071CC" w:rsidRDefault="00E071CC" w:rsidP="00160B71">
      <w:pPr>
        <w:jc w:val="both"/>
        <w:rPr>
          <w:rStyle w:val="eop"/>
          <w:rFonts w:ascii="Calibri" w:hAnsi="Calibri" w:cs="Calibri"/>
          <w:color w:val="000000"/>
          <w:sz w:val="22"/>
          <w:szCs w:val="22"/>
          <w:shd w:val="clear" w:color="auto" w:fill="FFFFFF"/>
        </w:rPr>
      </w:pPr>
    </w:p>
    <w:tbl>
      <w:tblPr>
        <w:tblStyle w:val="TableGrid"/>
        <w:tblW w:w="14400" w:type="dxa"/>
        <w:tblInd w:w="-5" w:type="dxa"/>
        <w:tblLook w:val="04A0" w:firstRow="1" w:lastRow="0" w:firstColumn="1" w:lastColumn="0" w:noHBand="0" w:noVBand="1"/>
      </w:tblPr>
      <w:tblGrid>
        <w:gridCol w:w="732"/>
        <w:gridCol w:w="5568"/>
        <w:gridCol w:w="1260"/>
        <w:gridCol w:w="1260"/>
        <w:gridCol w:w="1890"/>
        <w:gridCol w:w="1710"/>
        <w:gridCol w:w="1980"/>
      </w:tblGrid>
      <w:tr w:rsidR="003C4BA9" w:rsidRPr="003C4BA9" w14:paraId="27692033" w14:textId="34A05C94" w:rsidTr="003C4BA9">
        <w:tc>
          <w:tcPr>
            <w:tcW w:w="732" w:type="dxa"/>
            <w:vAlign w:val="center"/>
          </w:tcPr>
          <w:p w14:paraId="235D813D"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A/A</w:t>
            </w:r>
          </w:p>
        </w:tc>
        <w:tc>
          <w:tcPr>
            <w:tcW w:w="5568" w:type="dxa"/>
            <w:vAlign w:val="center"/>
          </w:tcPr>
          <w:p w14:paraId="5533BBD4" w14:textId="77777777" w:rsidR="003C4BA9" w:rsidRPr="003C4BA9" w:rsidRDefault="003C4BA9" w:rsidP="003C4BA9">
            <w:pP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Service / Task</w:t>
            </w:r>
          </w:p>
        </w:tc>
        <w:tc>
          <w:tcPr>
            <w:tcW w:w="1260" w:type="dxa"/>
            <w:vAlign w:val="center"/>
          </w:tcPr>
          <w:p w14:paraId="3CB99679"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Unit</w:t>
            </w:r>
          </w:p>
        </w:tc>
        <w:tc>
          <w:tcPr>
            <w:tcW w:w="1260" w:type="dxa"/>
            <w:vAlign w:val="center"/>
          </w:tcPr>
          <w:p w14:paraId="36CE6D5C"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Quantity</w:t>
            </w:r>
          </w:p>
        </w:tc>
        <w:tc>
          <w:tcPr>
            <w:tcW w:w="1890" w:type="dxa"/>
          </w:tcPr>
          <w:p w14:paraId="28462E40" w14:textId="3F0184A5"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Cost in €</w:t>
            </w:r>
          </w:p>
        </w:tc>
        <w:tc>
          <w:tcPr>
            <w:tcW w:w="1710" w:type="dxa"/>
          </w:tcPr>
          <w:p w14:paraId="10AF1717" w14:textId="7AC7D928"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VAT in €</w:t>
            </w:r>
          </w:p>
        </w:tc>
        <w:tc>
          <w:tcPr>
            <w:tcW w:w="1980" w:type="dxa"/>
          </w:tcPr>
          <w:p w14:paraId="070C6885" w14:textId="1E44ABF3"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Total Cost in €</w:t>
            </w:r>
          </w:p>
        </w:tc>
      </w:tr>
      <w:tr w:rsidR="003C4BA9" w:rsidRPr="003C4BA9" w14:paraId="5C587B48" w14:textId="02126620" w:rsidTr="003C4BA9">
        <w:tc>
          <w:tcPr>
            <w:tcW w:w="732" w:type="dxa"/>
            <w:tcBorders>
              <w:bottom w:val="single" w:sz="4" w:space="0" w:color="auto"/>
            </w:tcBorders>
            <w:vAlign w:val="center"/>
          </w:tcPr>
          <w:p w14:paraId="0704FAEE"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1</w:t>
            </w:r>
          </w:p>
        </w:tc>
        <w:tc>
          <w:tcPr>
            <w:tcW w:w="5568" w:type="dxa"/>
            <w:tcBorders>
              <w:bottom w:val="single" w:sz="4" w:space="0" w:color="auto"/>
            </w:tcBorders>
            <w:vAlign w:val="center"/>
          </w:tcPr>
          <w:p w14:paraId="651B2AFD"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 xml:space="preserve">Support ICARDA </w:t>
            </w:r>
            <w:proofErr w:type="gramStart"/>
            <w:r w:rsidRPr="003C4BA9">
              <w:rPr>
                <w:rFonts w:asciiTheme="minorHAnsi" w:hAnsiTheme="minorHAnsi" w:cstheme="minorHAnsi"/>
                <w:sz w:val="22"/>
                <w:szCs w:val="22"/>
              </w:rPr>
              <w:t>finalize</w:t>
            </w:r>
            <w:proofErr w:type="gramEnd"/>
            <w:r w:rsidRPr="003C4BA9">
              <w:rPr>
                <w:rFonts w:asciiTheme="minorHAnsi" w:hAnsiTheme="minorHAnsi" w:cstheme="minorHAnsi"/>
                <w:sz w:val="22"/>
                <w:szCs w:val="22"/>
              </w:rPr>
              <w:t xml:space="preserve"> the Multi-Actor Assessment, as described in Task 2.1 of WP2 (Annex 1A).</w:t>
            </w:r>
          </w:p>
        </w:tc>
        <w:tc>
          <w:tcPr>
            <w:tcW w:w="1260" w:type="dxa"/>
            <w:tcBorders>
              <w:bottom w:val="single" w:sz="4" w:space="0" w:color="auto"/>
            </w:tcBorders>
            <w:vAlign w:val="center"/>
          </w:tcPr>
          <w:p w14:paraId="5E4D246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tcBorders>
              <w:bottom w:val="single" w:sz="4" w:space="0" w:color="auto"/>
            </w:tcBorders>
            <w:vAlign w:val="center"/>
          </w:tcPr>
          <w:p w14:paraId="507A1387"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764BFDE7" w14:textId="322FDD3E"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5C5B18C8"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16E488C2"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6F414C6" w14:textId="585F379F" w:rsidTr="003C4BA9">
        <w:tc>
          <w:tcPr>
            <w:tcW w:w="732" w:type="dxa"/>
            <w:tcBorders>
              <w:bottom w:val="single" w:sz="4" w:space="0" w:color="auto"/>
            </w:tcBorders>
            <w:vAlign w:val="center"/>
          </w:tcPr>
          <w:p w14:paraId="497E5671"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2</w:t>
            </w:r>
          </w:p>
        </w:tc>
        <w:tc>
          <w:tcPr>
            <w:tcW w:w="5568" w:type="dxa"/>
            <w:tcBorders>
              <w:bottom w:val="single" w:sz="4" w:space="0" w:color="auto"/>
            </w:tcBorders>
            <w:vAlign w:val="center"/>
          </w:tcPr>
          <w:p w14:paraId="0EC70C5D"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 xml:space="preserve">Delivery of the preliminary designs for the </w:t>
            </w:r>
            <w:r w:rsidRPr="003C4BA9">
              <w:rPr>
                <w:rFonts w:asciiTheme="minorHAnsi" w:eastAsiaTheme="minorHAnsi" w:hAnsiTheme="minorHAnsi" w:cstheme="minorHAnsi"/>
                <w:sz w:val="22"/>
                <w:szCs w:val="22"/>
              </w:rPr>
              <w:t>two (2) Khetaras-like systems, combined with pitting, as described Task 2.2 of WP2 (Annex 1A) and Annex 2A &amp; 2B.</w:t>
            </w:r>
          </w:p>
        </w:tc>
        <w:tc>
          <w:tcPr>
            <w:tcW w:w="1260" w:type="dxa"/>
            <w:tcBorders>
              <w:bottom w:val="single" w:sz="4" w:space="0" w:color="auto"/>
            </w:tcBorders>
            <w:vAlign w:val="center"/>
          </w:tcPr>
          <w:p w14:paraId="05320110"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6A5F7BE8"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6C215CDA" w14:textId="71475B74"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03A47E75"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57E5A1A2"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1F6C8C35" w14:textId="1F7699A6" w:rsidTr="003C4BA9">
        <w:tc>
          <w:tcPr>
            <w:tcW w:w="732" w:type="dxa"/>
            <w:tcBorders>
              <w:bottom w:val="single" w:sz="4" w:space="0" w:color="auto"/>
            </w:tcBorders>
            <w:vAlign w:val="center"/>
          </w:tcPr>
          <w:p w14:paraId="6CCDDA40"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3</w:t>
            </w:r>
          </w:p>
        </w:tc>
        <w:tc>
          <w:tcPr>
            <w:tcW w:w="5568" w:type="dxa"/>
            <w:tcBorders>
              <w:bottom w:val="single" w:sz="4" w:space="0" w:color="auto"/>
            </w:tcBorders>
            <w:vAlign w:val="center"/>
          </w:tcPr>
          <w:p w14:paraId="303ABFCA"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 xml:space="preserve">Delivery of the final designs for the </w:t>
            </w:r>
            <w:r w:rsidRPr="003C4BA9">
              <w:rPr>
                <w:rFonts w:asciiTheme="minorHAnsi" w:eastAsiaTheme="minorHAnsi" w:hAnsiTheme="minorHAnsi" w:cstheme="minorHAnsi"/>
                <w:sz w:val="22"/>
                <w:szCs w:val="22"/>
              </w:rPr>
              <w:t>two (2) Khetaras-like systems, combined with pitting, as described Task 2.2 of WP2 (Annex 1A) and Annex 2A &amp; 2B.</w:t>
            </w:r>
          </w:p>
        </w:tc>
        <w:tc>
          <w:tcPr>
            <w:tcW w:w="1260" w:type="dxa"/>
            <w:tcBorders>
              <w:bottom w:val="single" w:sz="4" w:space="0" w:color="auto"/>
            </w:tcBorders>
            <w:vAlign w:val="center"/>
          </w:tcPr>
          <w:p w14:paraId="58DC69A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1ACDC0CD"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626A347D" w14:textId="598C595D"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3ED5461C"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23F127F5"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01B0C694" w14:textId="7596B3BF" w:rsidTr="003C4BA9">
        <w:tc>
          <w:tcPr>
            <w:tcW w:w="732" w:type="dxa"/>
            <w:tcBorders>
              <w:bottom w:val="single" w:sz="4" w:space="0" w:color="auto"/>
            </w:tcBorders>
            <w:vAlign w:val="center"/>
          </w:tcPr>
          <w:p w14:paraId="224B9D34"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4</w:t>
            </w:r>
          </w:p>
        </w:tc>
        <w:tc>
          <w:tcPr>
            <w:tcW w:w="5568" w:type="dxa"/>
            <w:tcBorders>
              <w:bottom w:val="single" w:sz="4" w:space="0" w:color="auto"/>
            </w:tcBorders>
            <w:vAlign w:val="center"/>
          </w:tcPr>
          <w:p w14:paraId="49DAA676" w14:textId="77777777" w:rsidR="003C4BA9" w:rsidRPr="003C4BA9" w:rsidRDefault="003C4BA9" w:rsidP="003C4BA9">
            <w:pPr>
              <w:rPr>
                <w:rFonts w:asciiTheme="minorHAnsi" w:hAnsiTheme="minorHAnsi" w:cstheme="minorHAnsi"/>
                <w:sz w:val="22"/>
                <w:szCs w:val="22"/>
              </w:rPr>
            </w:pPr>
            <w:r w:rsidRPr="003C4BA9">
              <w:rPr>
                <w:rFonts w:asciiTheme="minorHAnsi" w:eastAsiaTheme="minorHAnsi" w:hAnsiTheme="minorHAnsi" w:cstheme="minorHAnsi"/>
                <w:sz w:val="22"/>
                <w:szCs w:val="22"/>
              </w:rPr>
              <w:t>Implement the two (2) Khetaras-like systems, combined with pitting, as described in Task 2.3. and in compliance with the designs which are to be conducted under the current assignment.</w:t>
            </w:r>
          </w:p>
        </w:tc>
        <w:tc>
          <w:tcPr>
            <w:tcW w:w="1260" w:type="dxa"/>
            <w:tcBorders>
              <w:bottom w:val="single" w:sz="4" w:space="0" w:color="auto"/>
            </w:tcBorders>
            <w:vAlign w:val="center"/>
          </w:tcPr>
          <w:p w14:paraId="6430DD26"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41A0E44E"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54635495" w14:textId="784D3819"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7AFAC456"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317AAD1C"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CCC5114" w14:textId="4A4FD56D" w:rsidTr="003C4BA9">
        <w:tc>
          <w:tcPr>
            <w:tcW w:w="732" w:type="dxa"/>
            <w:vAlign w:val="center"/>
          </w:tcPr>
          <w:p w14:paraId="75BEC533"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5</w:t>
            </w:r>
          </w:p>
        </w:tc>
        <w:tc>
          <w:tcPr>
            <w:tcW w:w="5568" w:type="dxa"/>
            <w:vAlign w:val="center"/>
          </w:tcPr>
          <w:p w14:paraId="32A02087"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Completion of the following sub-tacks (completion of Contract):</w:t>
            </w:r>
          </w:p>
          <w:p w14:paraId="440CB448"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Implementation of three (3) Water Days, as described in Task 2.1 of WP2 (Annex 1A).</w:t>
            </w:r>
          </w:p>
          <w:p w14:paraId="366D14CF"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Engaging stakeholders through continuous field visits, workshops, and demonstration site activities, ensuring that women and youth are explicitly included, as described in Task 6.1 (Annex A2)</w:t>
            </w:r>
          </w:p>
          <w:p w14:paraId="11C41D32"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Facilitate policy discussions and joint workshops to translate project findings into actionable recommendations and foster uptake by decision-makers, as described in Task 6.3 (Annex A2)</w:t>
            </w:r>
          </w:p>
        </w:tc>
        <w:tc>
          <w:tcPr>
            <w:tcW w:w="1260" w:type="dxa"/>
            <w:vAlign w:val="center"/>
          </w:tcPr>
          <w:p w14:paraId="2BA0D26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53B42E41"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vAlign w:val="center"/>
          </w:tcPr>
          <w:p w14:paraId="425F4AFB" w14:textId="456E05D3" w:rsidR="003C4BA9" w:rsidRPr="003C4BA9" w:rsidRDefault="003C4BA9" w:rsidP="003C4BA9">
            <w:pPr>
              <w:jc w:val="center"/>
              <w:rPr>
                <w:rFonts w:asciiTheme="minorHAnsi" w:eastAsiaTheme="minorHAnsi" w:hAnsiTheme="minorHAnsi" w:cstheme="minorHAnsi"/>
                <w:sz w:val="22"/>
                <w:szCs w:val="22"/>
              </w:rPr>
            </w:pPr>
          </w:p>
        </w:tc>
        <w:tc>
          <w:tcPr>
            <w:tcW w:w="1710" w:type="dxa"/>
            <w:vAlign w:val="center"/>
          </w:tcPr>
          <w:p w14:paraId="3A59105E"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vAlign w:val="center"/>
          </w:tcPr>
          <w:p w14:paraId="73BB90A9"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243536D" w14:textId="77777777" w:rsidTr="003C4BA9">
        <w:tc>
          <w:tcPr>
            <w:tcW w:w="8820" w:type="dxa"/>
            <w:gridSpan w:val="4"/>
            <w:tcBorders>
              <w:bottom w:val="single" w:sz="4" w:space="0" w:color="auto"/>
            </w:tcBorders>
            <w:vAlign w:val="center"/>
          </w:tcPr>
          <w:p w14:paraId="0F064DD0" w14:textId="49EFFF61" w:rsidR="003C4BA9" w:rsidRPr="003C4BA9" w:rsidRDefault="003C4BA9" w:rsidP="003C4BA9">
            <w:pPr>
              <w:jc w:val="right"/>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TOTAL COST</w:t>
            </w:r>
          </w:p>
        </w:tc>
        <w:tc>
          <w:tcPr>
            <w:tcW w:w="1890" w:type="dxa"/>
            <w:tcBorders>
              <w:bottom w:val="single" w:sz="4" w:space="0" w:color="auto"/>
            </w:tcBorders>
            <w:vAlign w:val="center"/>
          </w:tcPr>
          <w:p w14:paraId="7FE3CC1F" w14:textId="77777777"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tcPr>
          <w:p w14:paraId="611ABDDE"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tcPr>
          <w:p w14:paraId="59F2CA2F" w14:textId="77777777" w:rsidR="003C4BA9" w:rsidRPr="003C4BA9" w:rsidRDefault="003C4BA9" w:rsidP="003C4BA9">
            <w:pPr>
              <w:jc w:val="center"/>
              <w:rPr>
                <w:rFonts w:asciiTheme="minorHAnsi" w:eastAsiaTheme="minorHAnsi" w:hAnsiTheme="minorHAnsi" w:cstheme="minorHAnsi"/>
                <w:sz w:val="22"/>
                <w:szCs w:val="22"/>
              </w:rPr>
            </w:pPr>
          </w:p>
        </w:tc>
      </w:tr>
    </w:tbl>
    <w:p w14:paraId="648682C6" w14:textId="77777777" w:rsidR="003C4BA9" w:rsidRDefault="003C4BA9" w:rsidP="00FB3B28">
      <w:pPr>
        <w:jc w:val="both"/>
        <w:rPr>
          <w:rStyle w:val="eop"/>
          <w:rFonts w:ascii="Calibri" w:hAnsi="Calibri" w:cs="Calibri"/>
          <w:color w:val="000000"/>
          <w:sz w:val="22"/>
          <w:szCs w:val="22"/>
          <w:shd w:val="clear" w:color="auto" w:fill="FFFFFF"/>
        </w:rPr>
      </w:pPr>
    </w:p>
    <w:p w14:paraId="7DAA6FA9" w14:textId="1753C83D" w:rsidR="00117BFB" w:rsidRPr="003C4BA9" w:rsidRDefault="00160B71" w:rsidP="00FB3B28">
      <w:pPr>
        <w:jc w:val="both"/>
        <w:rPr>
          <w:rFonts w:ascii="Calibri" w:hAnsi="Calibri" w:cs="Calibri"/>
          <w:sz w:val="24"/>
          <w:szCs w:val="32"/>
        </w:rPr>
      </w:pPr>
      <w:r w:rsidRPr="003C4BA9">
        <w:rPr>
          <w:rFonts w:ascii="Calibri" w:hAnsi="Calibri" w:cs="Calibri"/>
          <w:sz w:val="24"/>
          <w:szCs w:val="32"/>
        </w:rPr>
        <w:lastRenderedPageBreak/>
        <w:t xml:space="preserve">The </w:t>
      </w:r>
      <w:r w:rsidR="0068783C" w:rsidRPr="003C4BA9">
        <w:rPr>
          <w:rFonts w:ascii="Calibri" w:hAnsi="Calibri" w:cs="Calibri"/>
          <w:sz w:val="24"/>
          <w:szCs w:val="32"/>
        </w:rPr>
        <w:t>Participant I</w:t>
      </w:r>
      <w:r w:rsidRPr="003C4BA9">
        <w:rPr>
          <w:rFonts w:ascii="Calibri" w:hAnsi="Calibri" w:cs="Calibri"/>
          <w:sz w:val="24"/>
          <w:szCs w:val="32"/>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3C4BA9">
        <w:rPr>
          <w:rFonts w:ascii="Calibri" w:hAnsi="Calibri" w:cs="Calibri"/>
          <w:sz w:val="24"/>
          <w:szCs w:val="32"/>
        </w:rPr>
        <w:t xml:space="preserve"> Call </w:t>
      </w:r>
      <w:proofErr w:type="gramStart"/>
      <w:r w:rsidR="00DD1804" w:rsidRPr="003C4BA9">
        <w:rPr>
          <w:rFonts w:ascii="Calibri" w:hAnsi="Calibri" w:cs="Calibri"/>
          <w:sz w:val="24"/>
          <w:szCs w:val="32"/>
        </w:rPr>
        <w:t>For</w:t>
      </w:r>
      <w:proofErr w:type="gramEnd"/>
      <w:r w:rsidR="00DD1804" w:rsidRPr="003C4BA9">
        <w:rPr>
          <w:rFonts w:ascii="Calibri" w:hAnsi="Calibri" w:cs="Calibri"/>
          <w:sz w:val="24"/>
          <w:szCs w:val="32"/>
        </w:rPr>
        <w:t xml:space="preserve"> Offers</w:t>
      </w:r>
      <w:r w:rsidRPr="003C4BA9">
        <w:rPr>
          <w:rFonts w:ascii="Calibri" w:hAnsi="Calibri" w:cs="Calibri"/>
          <w:sz w:val="24"/>
          <w:szCs w:val="32"/>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Default="0068783C" w:rsidP="00160B71">
      <w:pPr>
        <w:jc w:val="both"/>
        <w:rPr>
          <w:rFonts w:ascii="Calibri" w:hAnsi="Calibri" w:cs="Calibri"/>
        </w:rPr>
      </w:pPr>
    </w:p>
    <w:p w14:paraId="78B0495B" w14:textId="77777777" w:rsidR="003C4BA9" w:rsidRPr="00AE402C" w:rsidRDefault="003C4BA9"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B4F0" w14:textId="77777777" w:rsidR="00EC2FE7" w:rsidRDefault="00EC2FE7" w:rsidP="00160B71">
      <w:r>
        <w:separator/>
      </w:r>
    </w:p>
  </w:endnote>
  <w:endnote w:type="continuationSeparator" w:id="0">
    <w:p w14:paraId="13F25333" w14:textId="77777777" w:rsidR="00EC2FE7" w:rsidRDefault="00EC2FE7"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BDED" w14:textId="77777777" w:rsidR="00E259E5" w:rsidRDefault="00E25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16C8" w14:textId="77777777" w:rsidR="00E259E5" w:rsidRDefault="00E259E5" w:rsidP="00E259E5">
    <w:pPr>
      <w:pStyle w:val="Footer"/>
    </w:pPr>
    <w:r>
      <w:rPr>
        <w:noProof/>
      </w:rPr>
      <w:drawing>
        <wp:anchor distT="0" distB="0" distL="114300" distR="114300" simplePos="0" relativeHeight="251659264" behindDoc="0" locked="0" layoutInCell="1" hidden="0" allowOverlap="1" wp14:anchorId="136FE22E" wp14:editId="4644C418">
          <wp:simplePos x="0" y="0"/>
          <wp:positionH relativeFrom="column">
            <wp:posOffset>-206733</wp:posOffset>
          </wp:positionH>
          <wp:positionV relativeFrom="paragraph">
            <wp:posOffset>158723</wp:posOffset>
          </wp:positionV>
          <wp:extent cx="981075" cy="457200"/>
          <wp:effectExtent l="0" t="0" r="9525" b="0"/>
          <wp:wrapSquare wrapText="bothSides" distT="0" distB="0" distL="114300" distR="114300"/>
          <wp:docPr id="844125311" name="image6.png" descr="C:\Users\morlando01\Downloads\Logo-PRIMA-2.png"/>
          <wp:cNvGraphicFramePr/>
          <a:graphic xmlns:a="http://schemas.openxmlformats.org/drawingml/2006/main">
            <a:graphicData uri="http://schemas.openxmlformats.org/drawingml/2006/picture">
              <pic:pic xmlns:pic="http://schemas.openxmlformats.org/drawingml/2006/picture">
                <pic:nvPicPr>
                  <pic:cNvPr id="0" name="image6.png" descr="C:\Users\morlando01\Downloads\Logo-PRIMA-2.png"/>
                  <pic:cNvPicPr preferRelativeResize="0"/>
                </pic:nvPicPr>
                <pic:blipFill>
                  <a:blip r:embed="rId1"/>
                  <a:srcRect/>
                  <a:stretch>
                    <a:fillRect/>
                  </a:stretch>
                </pic:blipFill>
                <pic:spPr>
                  <a:xfrm>
                    <a:off x="0" y="0"/>
                    <a:ext cx="981075" cy="457200"/>
                  </a:xfrm>
                  <a:prstGeom prst="rect">
                    <a:avLst/>
                  </a:prstGeom>
                  <a:ln/>
                </pic:spPr>
              </pic:pic>
            </a:graphicData>
          </a:graphic>
          <wp14:sizeRelH relativeFrom="margin">
            <wp14:pctWidth>0</wp14:pctWidth>
          </wp14:sizeRelH>
          <wp14:sizeRelV relativeFrom="margin">
            <wp14:pctHeight>0</wp14:pctHeight>
          </wp14:sizeRelV>
        </wp:anchor>
      </w:drawing>
    </w:r>
  </w:p>
  <w:p w14:paraId="3792BD2B" w14:textId="77777777" w:rsidR="00E259E5" w:rsidRPr="00BB0E61" w:rsidRDefault="00E259E5" w:rsidP="00E259E5">
    <w:pPr>
      <w:jc w:val="both"/>
      <w:rPr>
        <w:sz w:val="16"/>
      </w:rPr>
    </w:pPr>
    <w:r w:rsidRPr="00BB0E61">
      <w:rPr>
        <w:noProof/>
      </w:rPr>
      <w:drawing>
        <wp:anchor distT="0" distB="0" distL="114300" distR="114300" simplePos="0" relativeHeight="251660288" behindDoc="0" locked="0" layoutInCell="1" allowOverlap="1" wp14:anchorId="5723AE33" wp14:editId="0EDEC06F">
          <wp:simplePos x="0" y="0"/>
          <wp:positionH relativeFrom="column">
            <wp:posOffset>938447</wp:posOffset>
          </wp:positionH>
          <wp:positionV relativeFrom="paragraph">
            <wp:posOffset>19492</wp:posOffset>
          </wp:positionV>
          <wp:extent cx="538480" cy="358140"/>
          <wp:effectExtent l="0" t="0" r="0" b="3810"/>
          <wp:wrapSquare wrapText="bothSides"/>
          <wp:docPr id="999610811" name="Picture 7" descr="Uma imagem com estrela, bandeira, azul, Azul majorelle&#10;&#10;Os conteúdos gerados por IA podem estar incorretos.">
            <a:extLst xmlns:a="http://schemas.openxmlformats.org/drawingml/2006/main">
              <a:ext uri="{FF2B5EF4-FFF2-40B4-BE49-F238E27FC236}">
                <a16:creationId xmlns:a16="http://schemas.microsoft.com/office/drawing/2014/main" id="{B2023691-4FFF-949D-C216-5E65DC690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Uma imagem com estrela, bandeira, azul, Azul majorelle&#10;&#10;Os conteúdos gerados por IA podem estar incorretos.">
                    <a:extLst>
                      <a:ext uri="{FF2B5EF4-FFF2-40B4-BE49-F238E27FC236}">
                        <a16:creationId xmlns:a16="http://schemas.microsoft.com/office/drawing/2014/main" id="{B2023691-4FFF-949D-C216-5E65DC69012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58140"/>
                  </a:xfrm>
                  <a:prstGeom prst="rect">
                    <a:avLst/>
                  </a:prstGeom>
                  <a:noFill/>
                </pic:spPr>
              </pic:pic>
            </a:graphicData>
          </a:graphic>
          <wp14:sizeRelH relativeFrom="page">
            <wp14:pctWidth>0</wp14:pctWidth>
          </wp14:sizeRelH>
          <wp14:sizeRelV relativeFrom="page">
            <wp14:pctHeight>0</wp14:pctHeight>
          </wp14:sizeRelV>
        </wp:anchor>
      </w:drawing>
    </w:r>
    <w:r w:rsidRPr="00BB0E61">
      <w:rPr>
        <w:sz w:val="16"/>
      </w:rPr>
      <w:t>Th</w:t>
    </w:r>
    <w:r>
      <w:rPr>
        <w:sz w:val="16"/>
      </w:rPr>
      <w:t>e NUSTALGIC</w:t>
    </w:r>
    <w:r w:rsidRPr="00BB0E61">
      <w:rPr>
        <w:sz w:val="16"/>
      </w:rPr>
      <w:t xml:space="preserve"> project is part of the PRIMA programme supported by the European Union through the project “Neglected and Underutilized Species for </w:t>
    </w:r>
    <w:proofErr w:type="spellStart"/>
    <w:r w:rsidRPr="00BB0E61">
      <w:rPr>
        <w:sz w:val="16"/>
      </w:rPr>
      <w:t>waTer</w:t>
    </w:r>
    <w:proofErr w:type="spellEnd"/>
    <w:r w:rsidRPr="00BB0E61">
      <w:rPr>
        <w:sz w:val="16"/>
      </w:rPr>
      <w:t xml:space="preserve"> </w:t>
    </w:r>
    <w:proofErr w:type="spellStart"/>
    <w:r w:rsidRPr="00BB0E61">
      <w:rPr>
        <w:sz w:val="16"/>
      </w:rPr>
      <w:t>hArvesting</w:t>
    </w:r>
    <w:proofErr w:type="spellEnd"/>
    <w:r w:rsidRPr="00BB0E61">
      <w:rPr>
        <w:sz w:val="16"/>
      </w:rPr>
      <w:t xml:space="preserve"> and </w:t>
    </w:r>
    <w:proofErr w:type="spellStart"/>
    <w:r w:rsidRPr="00BB0E61">
      <w:rPr>
        <w:sz w:val="16"/>
      </w:rPr>
      <w:t>buiLdinG</w:t>
    </w:r>
    <w:proofErr w:type="spellEnd"/>
    <w:r w:rsidRPr="00BB0E61">
      <w:rPr>
        <w:sz w:val="16"/>
      </w:rPr>
      <w:t xml:space="preserve"> </w:t>
    </w:r>
    <w:proofErr w:type="spellStart"/>
    <w:r w:rsidRPr="00BB0E61">
      <w:rPr>
        <w:sz w:val="16"/>
      </w:rPr>
      <w:t>clImate</w:t>
    </w:r>
    <w:proofErr w:type="spellEnd"/>
    <w:r w:rsidRPr="00BB0E61">
      <w:rPr>
        <w:sz w:val="16"/>
      </w:rPr>
      <w:t xml:space="preserve"> Change resilience (NUSTALGIC)”, grant agreement No. 2411.</w:t>
    </w:r>
  </w:p>
  <w:p w14:paraId="0209248E" w14:textId="77777777" w:rsidR="00E259E5" w:rsidRDefault="00E25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D90A" w14:textId="77777777" w:rsidR="00EC2FE7" w:rsidRDefault="00EC2FE7" w:rsidP="00160B71">
      <w:r>
        <w:separator/>
      </w:r>
    </w:p>
  </w:footnote>
  <w:footnote w:type="continuationSeparator" w:id="0">
    <w:p w14:paraId="3568654A" w14:textId="77777777" w:rsidR="00EC2FE7" w:rsidRDefault="00EC2FE7"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C20" w14:textId="77777777" w:rsidR="00E259E5" w:rsidRDefault="00E25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C665" w14:textId="77777777" w:rsidR="00E259E5" w:rsidRDefault="00E25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E66" w14:textId="30F2B6FC" w:rsidR="00E259E5" w:rsidRDefault="00E259E5" w:rsidP="00E259E5">
    <w:pPr>
      <w:pStyle w:val="Header"/>
    </w:pPr>
    <w:r w:rsidRPr="00ED47D0">
      <w:rPr>
        <w:rFonts w:asciiTheme="minorHAnsi" w:hAnsiTheme="minorHAnsi"/>
        <w:noProof/>
        <w:lang w:val="el-GR" w:eastAsia="el-GR"/>
      </w:rPr>
      <w:drawing>
        <wp:anchor distT="0" distB="0" distL="114300" distR="114300" simplePos="0" relativeHeight="251662336" behindDoc="0" locked="0" layoutInCell="1" allowOverlap="0" wp14:anchorId="18F9421B" wp14:editId="30DE3EDA">
          <wp:simplePos x="0" y="0"/>
          <wp:positionH relativeFrom="column">
            <wp:posOffset>7147671</wp:posOffset>
          </wp:positionH>
          <wp:positionV relativeFrom="paragraph">
            <wp:posOffset>-260985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Pr="00BB0E61">
      <w:rPr>
        <w:rFonts w:ascii="Times New Roman"/>
        <w:noProof/>
      </w:rPr>
      <w:drawing>
        <wp:anchor distT="0" distB="0" distL="114300" distR="114300" simplePos="0" relativeHeight="251663360" behindDoc="0" locked="0" layoutInCell="1" allowOverlap="1" wp14:anchorId="3DDCA456" wp14:editId="53A97A71">
          <wp:simplePos x="0" y="0"/>
          <wp:positionH relativeFrom="margin">
            <wp:posOffset>-429371</wp:posOffset>
          </wp:positionH>
          <wp:positionV relativeFrom="paragraph">
            <wp:posOffset>-300327</wp:posOffset>
          </wp:positionV>
          <wp:extent cx="1335405" cy="760095"/>
          <wp:effectExtent l="0" t="0" r="0" b="0"/>
          <wp:wrapSquare wrapText="bothSides"/>
          <wp:docPr id="1740098088" name="Imagem 4" descr="Uma imagem com Gráficos, design gráfico, logótipo, Tipo de letra&#10;&#10;Os conteúdos gerados por IA podem estar incorretos.">
            <a:extLst xmlns:a="http://schemas.openxmlformats.org/drawingml/2006/main">
              <a:ext uri="{FF2B5EF4-FFF2-40B4-BE49-F238E27FC236}">
                <a16:creationId xmlns:a16="http://schemas.microsoft.com/office/drawing/2014/main" id="{834617E6-571E-D5EA-869B-C2220B5A7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Gráficos, design gráfico, logótipo, Tipo de letra&#10;&#10;Os conteúdos gerados por IA podem estar incorretos.">
                    <a:extLst>
                      <a:ext uri="{FF2B5EF4-FFF2-40B4-BE49-F238E27FC236}">
                        <a16:creationId xmlns:a16="http://schemas.microsoft.com/office/drawing/2014/main" id="{834617E6-571E-D5EA-869B-C2220B5A74A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6796" t="20499" r="14503" b="24243"/>
                  <a:stretch>
                    <a:fillRect/>
                  </a:stretch>
                </pic:blipFill>
                <pic:spPr bwMode="auto">
                  <a:xfrm>
                    <a:off x="0" y="0"/>
                    <a:ext cx="1335405"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B62348" w14:textId="6482C743" w:rsidR="00E259E5" w:rsidRDefault="00E259E5" w:rsidP="00E259E5">
    <w:pPr>
      <w:pStyle w:val="Header"/>
      <w:tabs>
        <w:tab w:val="left" w:pos="9072"/>
      </w:tabs>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5673E"/>
    <w:rsid w:val="00160B71"/>
    <w:rsid w:val="00237321"/>
    <w:rsid w:val="00363742"/>
    <w:rsid w:val="00397AFA"/>
    <w:rsid w:val="003C4BA9"/>
    <w:rsid w:val="003F507D"/>
    <w:rsid w:val="00417F4D"/>
    <w:rsid w:val="0044029D"/>
    <w:rsid w:val="00477D49"/>
    <w:rsid w:val="00481C0A"/>
    <w:rsid w:val="00487C1C"/>
    <w:rsid w:val="004C4015"/>
    <w:rsid w:val="004C4E68"/>
    <w:rsid w:val="00536AA0"/>
    <w:rsid w:val="0064160A"/>
    <w:rsid w:val="0068783C"/>
    <w:rsid w:val="007A5BD9"/>
    <w:rsid w:val="00883A60"/>
    <w:rsid w:val="008C364E"/>
    <w:rsid w:val="00936523"/>
    <w:rsid w:val="009852D0"/>
    <w:rsid w:val="00987301"/>
    <w:rsid w:val="009874D1"/>
    <w:rsid w:val="00AC69E5"/>
    <w:rsid w:val="00AE402C"/>
    <w:rsid w:val="00C41E10"/>
    <w:rsid w:val="00CF25E9"/>
    <w:rsid w:val="00D66D8B"/>
    <w:rsid w:val="00D763FD"/>
    <w:rsid w:val="00DA6587"/>
    <w:rsid w:val="00DC2864"/>
    <w:rsid w:val="00DD1804"/>
    <w:rsid w:val="00E071CC"/>
    <w:rsid w:val="00E259E5"/>
    <w:rsid w:val="00EC240D"/>
    <w:rsid w:val="00EC2FE7"/>
    <w:rsid w:val="00F30821"/>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aliases w:val="ft"/>
    <w:basedOn w:val="Normal"/>
    <w:link w:val="FooterChar"/>
    <w:uiPriority w:val="99"/>
    <w:unhideWhenUsed/>
    <w:rsid w:val="00160B71"/>
    <w:pPr>
      <w:tabs>
        <w:tab w:val="center" w:pos="4680"/>
        <w:tab w:val="right" w:pos="9360"/>
      </w:tabs>
    </w:pPr>
  </w:style>
  <w:style w:type="character" w:customStyle="1" w:styleId="FooterChar">
    <w:name w:val="Footer Char"/>
    <w:aliases w:val="ft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 w:type="table" w:styleId="TableGrid">
    <w:name w:val="Table Grid"/>
    <w:basedOn w:val="TableNormal"/>
    <w:uiPriority w:val="39"/>
    <w:rsid w:val="003C4B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07BBC3D57F724583E30D489F035131" ma:contentTypeVersion="6" ma:contentTypeDescription="Create a new document." ma:contentTypeScope="" ma:versionID="47a053f6ad7e26e3ea7963b7a5669ceb">
  <xsd:schema xmlns:xsd="http://www.w3.org/2001/XMLSchema" xmlns:xs="http://www.w3.org/2001/XMLSchema" xmlns:p="http://schemas.microsoft.com/office/2006/metadata/properties" xmlns:ns2="b66a0c96-d089-4933-a30f-91725513e950" targetNamespace="http://schemas.microsoft.com/office/2006/metadata/properties" ma:root="true" ma:fieldsID="bdde5b647a397da6b6bd0ebc0e80f4d0" ns2:_="">
    <xsd:import namespace="b66a0c96-d089-4933-a30f-91725513e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a0c96-d089-4933-a30f-91725513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C4F9231F-E745-4320-B944-5FD5F5B7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a0c96-d089-4933-a30f-91725513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543</Words>
  <Characters>3098</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Skondras (GWP-Med)</cp:lastModifiedBy>
  <cp:revision>14</cp:revision>
  <dcterms:created xsi:type="dcterms:W3CDTF">2021-11-30T09:32:00Z</dcterms:created>
  <dcterms:modified xsi:type="dcterms:W3CDTF">2026-02-17T15:24:00Z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